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4F9F" w14:textId="30456E53" w:rsidR="00D544CF" w:rsidRDefault="00BA2CD6" w:rsidP="00BA2CD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Norton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zahajuje prodej bytů v luxusním </w:t>
      </w:r>
      <w:r w:rsidR="00D544CF">
        <w:rPr>
          <w:rFonts w:ascii="Century Gothic" w:hAnsi="Century Gothic" w:cs="Tahoma"/>
          <w:b/>
          <w:color w:val="887634"/>
          <w:sz w:val="28"/>
          <w:szCs w:val="28"/>
        </w:rPr>
        <w:t>projekt</w:t>
      </w:r>
      <w:r>
        <w:rPr>
          <w:rFonts w:ascii="Century Gothic" w:hAnsi="Century Gothic" w:cs="Tahoma"/>
          <w:b/>
          <w:color w:val="887634"/>
          <w:sz w:val="28"/>
          <w:szCs w:val="28"/>
        </w:rPr>
        <w:t>u</w:t>
      </w:r>
      <w:r w:rsidR="00D544CF">
        <w:rPr>
          <w:rFonts w:ascii="Century Gothic" w:hAnsi="Century Gothic" w:cs="Tahoma"/>
          <w:b/>
          <w:color w:val="887634"/>
          <w:sz w:val="28"/>
          <w:szCs w:val="28"/>
        </w:rPr>
        <w:t xml:space="preserve"> U Rajské zahrady 18 </w:t>
      </w:r>
    </w:p>
    <w:p w14:paraId="6703D7B7" w14:textId="47705BE9" w:rsidR="00C57C5D" w:rsidRDefault="00C57C5D" w:rsidP="00C57C5D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5C1F461D" w14:textId="74529698" w:rsidR="001F71CA" w:rsidRDefault="00772443" w:rsidP="001F71CA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B94224">
        <w:rPr>
          <w:rFonts w:ascii="Century Gothic" w:eastAsia="Times New Roman" w:hAnsi="Century Gothic" w:cs="Tahoma"/>
          <w:i/>
        </w:rPr>
        <w:t>10</w:t>
      </w:r>
      <w:r w:rsidR="00D544CF">
        <w:rPr>
          <w:rFonts w:ascii="Century Gothic" w:eastAsia="Times New Roman" w:hAnsi="Century Gothic" w:cs="Tahoma"/>
          <w:i/>
        </w:rPr>
        <w:t>. května</w:t>
      </w:r>
      <w:r w:rsidR="00D216AF">
        <w:rPr>
          <w:rFonts w:ascii="Century Gothic" w:eastAsia="Times New Roman" w:hAnsi="Century Gothic" w:cs="Tahoma"/>
          <w:i/>
        </w:rPr>
        <w:t xml:space="preserve"> </w:t>
      </w:r>
      <w:r w:rsidR="000A6587">
        <w:rPr>
          <w:rFonts w:ascii="Century Gothic" w:eastAsia="Times New Roman" w:hAnsi="Century Gothic" w:cs="Tahoma"/>
          <w:i/>
        </w:rPr>
        <w:t>2017</w:t>
      </w:r>
    </w:p>
    <w:p w14:paraId="2427875C" w14:textId="77777777" w:rsidR="001F71CA" w:rsidRDefault="001F71CA" w:rsidP="001F71CA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1FAC438A" w14:textId="7DE5D5DC" w:rsidR="002E55A5" w:rsidRDefault="001F71CA" w:rsidP="002E55A5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Re</w:t>
      </w:r>
      <w:r w:rsidR="00BB4572">
        <w:rPr>
          <w:rFonts w:ascii="Century Gothic" w:eastAsia="Times New Roman" w:hAnsi="Century Gothic" w:cs="Tahoma"/>
          <w:b/>
        </w:rPr>
        <w:t xml:space="preserve">alitní kancelář </w:t>
      </w:r>
      <w:proofErr w:type="spellStart"/>
      <w:r w:rsidR="00BB4572">
        <w:rPr>
          <w:rFonts w:ascii="Century Gothic" w:eastAsia="Times New Roman" w:hAnsi="Century Gothic" w:cs="Tahoma"/>
          <w:b/>
        </w:rPr>
        <w:t>Lexxus</w:t>
      </w:r>
      <w:proofErr w:type="spellEnd"/>
      <w:r w:rsidR="00BB4572">
        <w:rPr>
          <w:rFonts w:ascii="Century Gothic" w:eastAsia="Times New Roman" w:hAnsi="Century Gothic" w:cs="Tahoma"/>
          <w:b/>
        </w:rPr>
        <w:t xml:space="preserve"> </w:t>
      </w:r>
      <w:proofErr w:type="spellStart"/>
      <w:r w:rsidR="00BB4572">
        <w:rPr>
          <w:rFonts w:ascii="Century Gothic" w:eastAsia="Times New Roman" w:hAnsi="Century Gothic" w:cs="Tahoma"/>
          <w:b/>
        </w:rPr>
        <w:t>Norton</w:t>
      </w:r>
      <w:proofErr w:type="spellEnd"/>
      <w:r w:rsidR="00B056D5">
        <w:rPr>
          <w:rFonts w:ascii="Century Gothic" w:eastAsia="Times New Roman" w:hAnsi="Century Gothic" w:cs="Tahoma"/>
          <w:b/>
        </w:rPr>
        <w:t xml:space="preserve"> </w:t>
      </w:r>
      <w:r w:rsidR="00227190">
        <w:rPr>
          <w:rFonts w:ascii="Century Gothic" w:eastAsia="Times New Roman" w:hAnsi="Century Gothic" w:cs="Tahoma"/>
          <w:b/>
        </w:rPr>
        <w:t xml:space="preserve">již </w:t>
      </w:r>
      <w:r>
        <w:rPr>
          <w:rFonts w:ascii="Century Gothic" w:eastAsia="Times New Roman" w:hAnsi="Century Gothic" w:cs="Tahoma"/>
          <w:b/>
        </w:rPr>
        <w:t xml:space="preserve">představila </w:t>
      </w:r>
      <w:r w:rsidR="004453B8">
        <w:rPr>
          <w:rFonts w:ascii="Century Gothic" w:eastAsia="Times New Roman" w:hAnsi="Century Gothic" w:cs="Tahoma"/>
          <w:b/>
        </w:rPr>
        <w:t>několik</w:t>
      </w:r>
      <w:r w:rsidR="00B056D5">
        <w:rPr>
          <w:rFonts w:ascii="Century Gothic" w:eastAsia="Times New Roman" w:hAnsi="Century Gothic" w:cs="Tahoma"/>
          <w:b/>
        </w:rPr>
        <w:t xml:space="preserve"> </w:t>
      </w:r>
      <w:r w:rsidR="004453B8">
        <w:rPr>
          <w:rFonts w:ascii="Century Gothic" w:eastAsia="Times New Roman" w:hAnsi="Century Gothic" w:cs="Tahoma"/>
          <w:b/>
        </w:rPr>
        <w:t xml:space="preserve">velmi </w:t>
      </w:r>
      <w:r w:rsidR="00B056D5">
        <w:rPr>
          <w:rFonts w:ascii="Century Gothic" w:eastAsia="Times New Roman" w:hAnsi="Century Gothic" w:cs="Tahoma"/>
          <w:b/>
        </w:rPr>
        <w:t xml:space="preserve">zdařilých </w:t>
      </w:r>
      <w:r w:rsidR="00093944">
        <w:rPr>
          <w:rFonts w:ascii="Century Gothic" w:eastAsia="Times New Roman" w:hAnsi="Century Gothic" w:cs="Tahoma"/>
          <w:b/>
        </w:rPr>
        <w:t>rekonstrukcí činžovních domů z přelomu 19. a 20. století.</w:t>
      </w:r>
      <w:r w:rsidR="0056382E">
        <w:rPr>
          <w:rFonts w:ascii="Century Gothic" w:eastAsia="Times New Roman" w:hAnsi="Century Gothic" w:cs="Tahoma"/>
          <w:b/>
        </w:rPr>
        <w:t xml:space="preserve"> Nově rozšířila své portfolio o komorní rezidenční projekt U Rajské zahrady 18, který obohatí nabídku luxusního bydlení </w:t>
      </w:r>
      <w:r w:rsidR="0012282E">
        <w:rPr>
          <w:rFonts w:ascii="Century Gothic" w:eastAsia="Times New Roman" w:hAnsi="Century Gothic" w:cs="Tahoma"/>
          <w:b/>
        </w:rPr>
        <w:t xml:space="preserve">v lokalitě </w:t>
      </w:r>
      <w:r w:rsidR="00BA2CD6">
        <w:rPr>
          <w:rFonts w:ascii="Century Gothic" w:eastAsia="Times New Roman" w:hAnsi="Century Gothic" w:cs="Tahoma"/>
          <w:b/>
        </w:rPr>
        <w:t>n</w:t>
      </w:r>
      <w:r w:rsidR="0012282E">
        <w:rPr>
          <w:rFonts w:ascii="Century Gothic" w:eastAsia="Times New Roman" w:hAnsi="Century Gothic" w:cs="Tahoma"/>
          <w:b/>
        </w:rPr>
        <w:t>a rozhraní pražských Vinohrad a </w:t>
      </w:r>
      <w:r w:rsidR="00BA2CD6">
        <w:rPr>
          <w:rFonts w:ascii="Century Gothic" w:eastAsia="Times New Roman" w:hAnsi="Century Gothic" w:cs="Tahoma"/>
          <w:b/>
        </w:rPr>
        <w:t>Žižkova o </w:t>
      </w:r>
      <w:r w:rsidR="0056382E">
        <w:rPr>
          <w:rFonts w:ascii="Century Gothic" w:eastAsia="Times New Roman" w:hAnsi="Century Gothic" w:cs="Tahoma"/>
          <w:b/>
        </w:rPr>
        <w:t xml:space="preserve">31 komfortních bytů. Kolaudace projektu </w:t>
      </w:r>
      <w:r w:rsidR="00004520">
        <w:rPr>
          <w:rFonts w:ascii="Century Gothic" w:eastAsia="Times New Roman" w:hAnsi="Century Gothic" w:cs="Tahoma"/>
          <w:b/>
        </w:rPr>
        <w:t>s působivými výhledy na Riegrovy sady či Pražský hrad proběhne</w:t>
      </w:r>
      <w:r w:rsidR="00BB4572">
        <w:rPr>
          <w:rFonts w:ascii="Century Gothic" w:eastAsia="Times New Roman" w:hAnsi="Century Gothic" w:cs="Tahoma"/>
          <w:b/>
        </w:rPr>
        <w:t xml:space="preserve"> na </w:t>
      </w:r>
      <w:r w:rsidR="0056382E">
        <w:rPr>
          <w:rFonts w:ascii="Century Gothic" w:eastAsia="Times New Roman" w:hAnsi="Century Gothic" w:cs="Tahoma"/>
          <w:b/>
        </w:rPr>
        <w:t xml:space="preserve">začátku roku 2018. </w:t>
      </w:r>
      <w:r w:rsidR="00130CFB">
        <w:rPr>
          <w:rFonts w:ascii="Century Gothic" w:eastAsia="Times New Roman" w:hAnsi="Century Gothic" w:cs="Tahoma"/>
          <w:b/>
        </w:rPr>
        <w:t>R</w:t>
      </w:r>
      <w:r w:rsidR="000E0A53">
        <w:rPr>
          <w:rFonts w:ascii="Century Gothic" w:eastAsia="Times New Roman" w:hAnsi="Century Gothic" w:cs="Tahoma"/>
          <w:b/>
        </w:rPr>
        <w:t xml:space="preserve">ekonstrukce </w:t>
      </w:r>
      <w:r w:rsidR="0012282E">
        <w:rPr>
          <w:rFonts w:ascii="Century Gothic" w:eastAsia="Times New Roman" w:hAnsi="Century Gothic" w:cs="Tahoma"/>
          <w:b/>
        </w:rPr>
        <w:t>je</w:t>
      </w:r>
      <w:r w:rsidR="000E0A53">
        <w:rPr>
          <w:rFonts w:ascii="Century Gothic" w:eastAsia="Times New Roman" w:hAnsi="Century Gothic" w:cs="Tahoma"/>
          <w:b/>
        </w:rPr>
        <w:t xml:space="preserve"> již</w:t>
      </w:r>
      <w:r w:rsidR="0012282E">
        <w:rPr>
          <w:rFonts w:ascii="Century Gothic" w:eastAsia="Times New Roman" w:hAnsi="Century Gothic" w:cs="Tahoma"/>
          <w:b/>
        </w:rPr>
        <w:t xml:space="preserve"> v plném proudu, developer </w:t>
      </w:r>
      <w:r w:rsidR="002E55A5" w:rsidRPr="002E55A5">
        <w:rPr>
          <w:rFonts w:ascii="Century Gothic" w:eastAsia="Times New Roman" w:hAnsi="Century Gothic" w:cs="Tahoma"/>
          <w:b/>
        </w:rPr>
        <w:t xml:space="preserve">připravuje vzorový byt a </w:t>
      </w:r>
      <w:proofErr w:type="spellStart"/>
      <w:r w:rsidR="002E55A5" w:rsidRPr="002E55A5">
        <w:rPr>
          <w:rFonts w:ascii="Century Gothic" w:eastAsia="Times New Roman" w:hAnsi="Century Gothic" w:cs="Tahoma"/>
          <w:b/>
        </w:rPr>
        <w:t>showroom</w:t>
      </w:r>
      <w:proofErr w:type="spellEnd"/>
      <w:r w:rsidR="002E55A5" w:rsidRPr="002E55A5">
        <w:rPr>
          <w:rFonts w:ascii="Century Gothic" w:eastAsia="Times New Roman" w:hAnsi="Century Gothic" w:cs="Tahoma"/>
          <w:b/>
        </w:rPr>
        <w:t xml:space="preserve">. </w:t>
      </w:r>
    </w:p>
    <w:p w14:paraId="75E5ED5F" w14:textId="77777777" w:rsidR="002E55A5" w:rsidRDefault="002E55A5" w:rsidP="002E55A5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70CD24E7" w14:textId="60C3B81B" w:rsidR="00F2102E" w:rsidRPr="002E55A5" w:rsidRDefault="00C53717" w:rsidP="002E55A5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  <w:noProof/>
          <w:lang w:eastAsia="cs-CZ"/>
        </w:rPr>
        <w:drawing>
          <wp:anchor distT="0" distB="0" distL="114300" distR="114300" simplePos="0" relativeHeight="251670016" behindDoc="0" locked="0" layoutInCell="1" allowOverlap="1" wp14:anchorId="780CB368" wp14:editId="2E955E7F">
            <wp:simplePos x="0" y="0"/>
            <wp:positionH relativeFrom="margin">
              <wp:posOffset>-336219</wp:posOffset>
            </wp:positionH>
            <wp:positionV relativeFrom="margin">
              <wp:posOffset>3455339</wp:posOffset>
            </wp:positionV>
            <wp:extent cx="2207260" cy="1788795"/>
            <wp:effectExtent l="0" t="0" r="2540" b="190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 (Large) (Medium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7260" cy="1788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5092" w:rsidRPr="009E5092">
        <w:rPr>
          <w:rFonts w:ascii="Century Gothic" w:eastAsia="Times New Roman" w:hAnsi="Century Gothic" w:cs="Tahoma"/>
        </w:rPr>
        <w:t>Komorní</w:t>
      </w:r>
      <w:r w:rsidR="009E5092">
        <w:rPr>
          <w:rFonts w:ascii="Century Gothic" w:eastAsia="Times New Roman" w:hAnsi="Century Gothic" w:cs="Tahoma"/>
        </w:rPr>
        <w:t xml:space="preserve"> projekt U Rajské zahrady 18 </w:t>
      </w:r>
      <w:r w:rsidR="0024773D">
        <w:rPr>
          <w:rFonts w:ascii="Century Gothic" w:eastAsia="Times New Roman" w:hAnsi="Century Gothic" w:cs="Tahoma"/>
        </w:rPr>
        <w:t>leží přímo u parku Riegrovy</w:t>
      </w:r>
      <w:r w:rsidR="00C24027">
        <w:rPr>
          <w:rFonts w:ascii="Century Gothic" w:eastAsia="Times New Roman" w:hAnsi="Century Gothic" w:cs="Tahoma"/>
        </w:rPr>
        <w:t xml:space="preserve"> sady. Právě probíhající </w:t>
      </w:r>
      <w:r w:rsidR="00B94224">
        <w:rPr>
          <w:rFonts w:ascii="Century Gothic" w:eastAsia="Times New Roman" w:hAnsi="Century Gothic" w:cs="Tahoma"/>
        </w:rPr>
        <w:t xml:space="preserve">citlivá </w:t>
      </w:r>
      <w:r w:rsidR="00C24027">
        <w:rPr>
          <w:rFonts w:ascii="Century Gothic" w:eastAsia="Times New Roman" w:hAnsi="Century Gothic" w:cs="Tahoma"/>
        </w:rPr>
        <w:t xml:space="preserve">rekonstrukce v něm </w:t>
      </w:r>
      <w:r w:rsidR="006B0679">
        <w:rPr>
          <w:rFonts w:ascii="Century Gothic" w:eastAsia="Times New Roman" w:hAnsi="Century Gothic" w:cs="Tahoma"/>
        </w:rPr>
        <w:t>propojí</w:t>
      </w:r>
      <w:r w:rsidR="00C24027">
        <w:rPr>
          <w:rFonts w:ascii="Century Gothic" w:eastAsia="Times New Roman" w:hAnsi="Century Gothic" w:cs="Tahoma"/>
        </w:rPr>
        <w:t xml:space="preserve"> původní provedení činžovního domu z roku 1901 s komfortem moderních technologií 21. století. </w:t>
      </w:r>
      <w:r w:rsidR="00F2102E">
        <w:rPr>
          <w:rFonts w:ascii="Century Gothic" w:eastAsia="Times New Roman" w:hAnsi="Century Gothic" w:cs="Tahoma"/>
        </w:rPr>
        <w:t>Developer zachová repliky původních špaletových oken, vchodových a interiérových dveří nebo ozdobn</w:t>
      </w:r>
      <w:r w:rsidR="0012282E">
        <w:rPr>
          <w:rFonts w:ascii="Century Gothic" w:eastAsia="Times New Roman" w:hAnsi="Century Gothic" w:cs="Tahoma"/>
        </w:rPr>
        <w:t>ou štukovou výzdobu na stropech. S</w:t>
      </w:r>
      <w:r w:rsidR="00F2102E">
        <w:rPr>
          <w:rFonts w:ascii="Century Gothic" w:eastAsia="Times New Roman" w:hAnsi="Century Gothic" w:cs="Tahoma"/>
        </w:rPr>
        <w:t xml:space="preserve">oučástí domu však bude </w:t>
      </w:r>
      <w:r w:rsidR="006B0679">
        <w:rPr>
          <w:rFonts w:ascii="Century Gothic" w:eastAsia="Times New Roman" w:hAnsi="Century Gothic" w:cs="Tahoma"/>
        </w:rPr>
        <w:t>také</w:t>
      </w:r>
      <w:r w:rsidR="00F2102E">
        <w:rPr>
          <w:rFonts w:ascii="Century Gothic" w:eastAsia="Times New Roman" w:hAnsi="Century Gothic" w:cs="Tahoma"/>
        </w:rPr>
        <w:t xml:space="preserve"> centrální plynová kotelna </w:t>
      </w:r>
      <w:r w:rsidR="0068518F">
        <w:rPr>
          <w:rFonts w:ascii="Century Gothic" w:eastAsia="Times New Roman" w:hAnsi="Century Gothic" w:cs="Tahoma"/>
        </w:rPr>
        <w:t>napojená na </w:t>
      </w:r>
      <w:r w:rsidR="00F2102E">
        <w:rPr>
          <w:rFonts w:ascii="Century Gothic" w:eastAsia="Times New Roman" w:hAnsi="Century Gothic" w:cs="Tahoma"/>
        </w:rPr>
        <w:t xml:space="preserve">podlahové topení v jednotlivých bytech a prostorný prosklený výtah. </w:t>
      </w:r>
      <w:r w:rsidR="00C11EF4">
        <w:rPr>
          <w:rFonts w:ascii="Century Gothic" w:eastAsia="Times New Roman" w:hAnsi="Century Gothic" w:cs="Tahoma"/>
        </w:rPr>
        <w:t xml:space="preserve">Celkem 31 bytových jednotek </w:t>
      </w:r>
      <w:r w:rsidR="00B94224">
        <w:rPr>
          <w:rFonts w:ascii="Century Gothic" w:eastAsia="Times New Roman" w:hAnsi="Century Gothic" w:cs="Tahoma"/>
        </w:rPr>
        <w:t>v dispozicích</w:t>
      </w:r>
      <w:r w:rsidR="000C16A1">
        <w:rPr>
          <w:rFonts w:ascii="Century Gothic" w:eastAsia="Times New Roman" w:hAnsi="Century Gothic" w:cs="Tahoma"/>
        </w:rPr>
        <w:t xml:space="preserve"> </w:t>
      </w:r>
      <w:r w:rsidR="00C11EF4">
        <w:rPr>
          <w:rFonts w:ascii="Century Gothic" w:eastAsia="Times New Roman" w:hAnsi="Century Gothic" w:cs="Tahoma"/>
        </w:rPr>
        <w:t>1+kk až 4+kk zajistí b</w:t>
      </w:r>
      <w:r w:rsidR="00C24027">
        <w:rPr>
          <w:rFonts w:ascii="Century Gothic" w:eastAsia="Times New Roman" w:hAnsi="Century Gothic" w:cs="Tahoma"/>
        </w:rPr>
        <w:t xml:space="preserve">udoucím majitelům </w:t>
      </w:r>
      <w:r w:rsidR="00C11EF4">
        <w:rPr>
          <w:rFonts w:ascii="Century Gothic" w:eastAsia="Times New Roman" w:hAnsi="Century Gothic" w:cs="Tahoma"/>
        </w:rPr>
        <w:t xml:space="preserve">stylové bydlení s krásnými </w:t>
      </w:r>
      <w:r w:rsidR="0012282E">
        <w:rPr>
          <w:rFonts w:ascii="Century Gothic" w:eastAsia="Times New Roman" w:hAnsi="Century Gothic" w:cs="Tahoma"/>
        </w:rPr>
        <w:t>výhledy</w:t>
      </w:r>
      <w:r w:rsidR="00F2102E">
        <w:rPr>
          <w:rFonts w:ascii="Century Gothic" w:eastAsia="Times New Roman" w:hAnsi="Century Gothic" w:cs="Tahoma"/>
        </w:rPr>
        <w:t>. Charakterizovat je budou moderní</w:t>
      </w:r>
      <w:r w:rsidR="00130CFB">
        <w:rPr>
          <w:rFonts w:ascii="Century Gothic" w:eastAsia="Times New Roman" w:hAnsi="Century Gothic" w:cs="Tahoma"/>
        </w:rPr>
        <w:t>, promyšlené</w:t>
      </w:r>
      <w:r w:rsidR="00F2102E">
        <w:rPr>
          <w:rFonts w:ascii="Century Gothic" w:eastAsia="Times New Roman" w:hAnsi="Century Gothic" w:cs="Tahoma"/>
        </w:rPr>
        <w:t xml:space="preserve"> a praktické dispozice, včetně vel</w:t>
      </w:r>
      <w:r w:rsidR="0068518F">
        <w:rPr>
          <w:rFonts w:ascii="Century Gothic" w:eastAsia="Times New Roman" w:hAnsi="Century Gothic" w:cs="Tahoma"/>
        </w:rPr>
        <w:t>korysých obývacích prostor a </w:t>
      </w:r>
      <w:r w:rsidR="00F2102E">
        <w:rPr>
          <w:rFonts w:ascii="Century Gothic" w:eastAsia="Times New Roman" w:hAnsi="Century Gothic" w:cs="Tahoma"/>
        </w:rPr>
        <w:t xml:space="preserve">šaten v ložnicích. </w:t>
      </w:r>
    </w:p>
    <w:p w14:paraId="6C746CA5" w14:textId="6A6A315C" w:rsidR="00F2102E" w:rsidRDefault="00F2102E" w:rsidP="00F2102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4E7AD18F" w14:textId="401900F9" w:rsidR="00C53717" w:rsidRPr="000F7EE1" w:rsidRDefault="00C53717" w:rsidP="000F7EE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71040" behindDoc="0" locked="0" layoutInCell="1" allowOverlap="1" wp14:anchorId="5DD453E3" wp14:editId="0AC52A61">
            <wp:simplePos x="0" y="0"/>
            <wp:positionH relativeFrom="margin">
              <wp:posOffset>3817841</wp:posOffset>
            </wp:positionH>
            <wp:positionV relativeFrom="margin">
              <wp:posOffset>5600672</wp:posOffset>
            </wp:positionV>
            <wp:extent cx="2374265" cy="1335405"/>
            <wp:effectExtent l="0" t="0" r="698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 (Large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092" w:rsidRPr="00AD713F">
        <w:rPr>
          <w:rFonts w:ascii="Century Gothic" w:eastAsia="Times New Roman" w:hAnsi="Century Gothic" w:cs="Tahoma"/>
        </w:rPr>
        <w:t>„</w:t>
      </w:r>
      <w:r w:rsidR="0024773D">
        <w:rPr>
          <w:rFonts w:ascii="Century Gothic" w:eastAsia="Times New Roman" w:hAnsi="Century Gothic" w:cs="Tahoma"/>
        </w:rPr>
        <w:t>Luxusní nemovitosti musí splňovat několik základních kritérií - umístění v prestižní lokalitě</w:t>
      </w:r>
      <w:r w:rsidR="006B0679">
        <w:rPr>
          <w:rFonts w:ascii="Century Gothic" w:eastAsia="Times New Roman" w:hAnsi="Century Gothic" w:cs="Tahoma"/>
        </w:rPr>
        <w:t xml:space="preserve">, </w:t>
      </w:r>
      <w:r w:rsidR="0024773D">
        <w:rPr>
          <w:rFonts w:ascii="Century Gothic" w:eastAsia="Times New Roman" w:hAnsi="Century Gothic" w:cs="Tahoma"/>
        </w:rPr>
        <w:t>atraktivní vzhled, nadstandardní kvalitu provedení a základního vybavení</w:t>
      </w:r>
      <w:r w:rsidR="006B0679">
        <w:rPr>
          <w:rFonts w:ascii="Century Gothic" w:eastAsia="Times New Roman" w:hAnsi="Century Gothic" w:cs="Tahoma"/>
        </w:rPr>
        <w:t xml:space="preserve"> a výbornou dopravní dostupnost či</w:t>
      </w:r>
      <w:r w:rsidR="0024773D">
        <w:rPr>
          <w:rFonts w:ascii="Century Gothic" w:eastAsia="Times New Roman" w:hAnsi="Century Gothic" w:cs="Tahoma"/>
        </w:rPr>
        <w:t xml:space="preserve"> občanskou vybavenost. Velmi často se u nich hodnotí </w:t>
      </w:r>
      <w:r w:rsidR="006B0679">
        <w:rPr>
          <w:rFonts w:ascii="Century Gothic" w:eastAsia="Times New Roman" w:hAnsi="Century Gothic" w:cs="Tahoma"/>
        </w:rPr>
        <w:t>také</w:t>
      </w:r>
      <w:r w:rsidR="0024773D">
        <w:rPr>
          <w:rFonts w:ascii="Century Gothic" w:eastAsia="Times New Roman" w:hAnsi="Century Gothic" w:cs="Tahoma"/>
        </w:rPr>
        <w:t xml:space="preserve"> </w:t>
      </w:r>
      <w:r w:rsidR="009E5092">
        <w:rPr>
          <w:rFonts w:ascii="Century Gothic" w:eastAsia="Times New Roman" w:hAnsi="Century Gothic" w:cs="Tahoma"/>
        </w:rPr>
        <w:t xml:space="preserve">výjimečnost a originalita, </w:t>
      </w:r>
      <w:r w:rsidR="006B0679">
        <w:rPr>
          <w:rFonts w:ascii="Century Gothic" w:eastAsia="Times New Roman" w:hAnsi="Century Gothic" w:cs="Tahoma"/>
        </w:rPr>
        <w:t xml:space="preserve">s níž se do </w:t>
      </w:r>
      <w:r w:rsidR="009E5092">
        <w:rPr>
          <w:rFonts w:ascii="Century Gothic" w:eastAsia="Times New Roman" w:hAnsi="Century Gothic" w:cs="Tahoma"/>
        </w:rPr>
        <w:t>výsledné podoby interiéru</w:t>
      </w:r>
      <w:r w:rsidR="006B0679">
        <w:rPr>
          <w:rFonts w:ascii="Century Gothic" w:eastAsia="Times New Roman" w:hAnsi="Century Gothic" w:cs="Tahoma"/>
        </w:rPr>
        <w:t xml:space="preserve"> promítne </w:t>
      </w:r>
      <w:r w:rsidR="009E5092">
        <w:rPr>
          <w:rFonts w:ascii="Century Gothic" w:eastAsia="Times New Roman" w:hAnsi="Century Gothic" w:cs="Tahoma"/>
        </w:rPr>
        <w:t xml:space="preserve">osobnost majitele, případně interiérového designéra. </w:t>
      </w:r>
      <w:r w:rsidR="006B0679">
        <w:rPr>
          <w:rFonts w:ascii="Century Gothic" w:eastAsia="Times New Roman" w:hAnsi="Century Gothic" w:cs="Tahoma"/>
        </w:rPr>
        <w:t>J</w:t>
      </w:r>
      <w:r w:rsidR="009E5092">
        <w:rPr>
          <w:rFonts w:ascii="Century Gothic" w:eastAsia="Times New Roman" w:hAnsi="Century Gothic" w:cs="Tahoma"/>
        </w:rPr>
        <w:t xml:space="preserve">ednotlivé bytové jednotky v projektu U Rajské zahrady 18 </w:t>
      </w:r>
      <w:r w:rsidR="006B0679">
        <w:rPr>
          <w:rFonts w:ascii="Century Gothic" w:eastAsia="Times New Roman" w:hAnsi="Century Gothic" w:cs="Tahoma"/>
        </w:rPr>
        <w:t xml:space="preserve">proto budou </w:t>
      </w:r>
      <w:r w:rsidR="009E5092">
        <w:rPr>
          <w:rFonts w:ascii="Century Gothic" w:eastAsia="Times New Roman" w:hAnsi="Century Gothic" w:cs="Tahoma"/>
        </w:rPr>
        <w:t>nabízeny b</w:t>
      </w:r>
      <w:r w:rsidR="006B0679">
        <w:rPr>
          <w:rFonts w:ascii="Century Gothic" w:eastAsia="Times New Roman" w:hAnsi="Century Gothic" w:cs="Tahoma"/>
        </w:rPr>
        <w:t>uď kompletně dokončené, nebo ve </w:t>
      </w:r>
      <w:r w:rsidR="009E5092">
        <w:rPr>
          <w:rFonts w:ascii="Century Gothic" w:eastAsia="Times New Roman" w:hAnsi="Century Gothic" w:cs="Tahoma"/>
        </w:rPr>
        <w:t>stavu „</w:t>
      </w:r>
      <w:proofErr w:type="spellStart"/>
      <w:r w:rsidR="009E5092">
        <w:rPr>
          <w:rFonts w:ascii="Century Gothic" w:eastAsia="Times New Roman" w:hAnsi="Century Gothic" w:cs="Tahoma"/>
        </w:rPr>
        <w:t>white</w:t>
      </w:r>
      <w:proofErr w:type="spellEnd"/>
      <w:r w:rsidR="009E5092">
        <w:rPr>
          <w:rFonts w:ascii="Century Gothic" w:eastAsia="Times New Roman" w:hAnsi="Century Gothic" w:cs="Tahoma"/>
        </w:rPr>
        <w:t xml:space="preserve"> </w:t>
      </w:r>
      <w:proofErr w:type="spellStart"/>
      <w:r w:rsidR="009E5092">
        <w:rPr>
          <w:rFonts w:ascii="Century Gothic" w:eastAsia="Times New Roman" w:hAnsi="Century Gothic" w:cs="Tahoma"/>
        </w:rPr>
        <w:t>walls</w:t>
      </w:r>
      <w:proofErr w:type="spellEnd"/>
      <w:r w:rsidR="009E5092">
        <w:rPr>
          <w:rFonts w:ascii="Century Gothic" w:eastAsia="Times New Roman" w:hAnsi="Century Gothic" w:cs="Tahoma"/>
        </w:rPr>
        <w:t xml:space="preserve">“, </w:t>
      </w:r>
      <w:r w:rsidR="0024773D">
        <w:rPr>
          <w:rFonts w:ascii="Century Gothic" w:eastAsia="Times New Roman" w:hAnsi="Century Gothic" w:cs="Tahoma"/>
        </w:rPr>
        <w:t>tedy ve </w:t>
      </w:r>
      <w:r w:rsidR="009E5092">
        <w:rPr>
          <w:rFonts w:ascii="Century Gothic" w:eastAsia="Times New Roman" w:hAnsi="Century Gothic" w:cs="Tahoma"/>
        </w:rPr>
        <w:t xml:space="preserve">stádiu hrubé stavby. </w:t>
      </w:r>
      <w:r w:rsidR="0024773D">
        <w:rPr>
          <w:rFonts w:ascii="Century Gothic" w:eastAsia="Times New Roman" w:hAnsi="Century Gothic" w:cs="Tahoma"/>
        </w:rPr>
        <w:t xml:space="preserve">Budoucí rezidenti si tak </w:t>
      </w:r>
      <w:r w:rsidR="006B0679">
        <w:rPr>
          <w:rFonts w:ascii="Century Gothic" w:eastAsia="Times New Roman" w:hAnsi="Century Gothic" w:cs="Tahoma"/>
        </w:rPr>
        <w:t>mohou</w:t>
      </w:r>
      <w:r w:rsidR="0024773D">
        <w:rPr>
          <w:rFonts w:ascii="Century Gothic" w:eastAsia="Times New Roman" w:hAnsi="Century Gothic" w:cs="Tahoma"/>
        </w:rPr>
        <w:t xml:space="preserve"> zvolit, zda se nastěhují do hotového, nebo si nechají byt dokončit podle svého vkusu, představ a finančních možností. Zároveň se tak vyhnou zbytečným zásahům a přestavbám,</w:t>
      </w:r>
      <w:r w:rsidR="009E5092" w:rsidRPr="00260D2A">
        <w:rPr>
          <w:rFonts w:ascii="Century Gothic" w:eastAsia="Times New Roman" w:hAnsi="Century Gothic" w:cs="Arial"/>
        </w:rPr>
        <w:t>“</w:t>
      </w:r>
      <w:r w:rsidR="009E5092" w:rsidRPr="0036031F">
        <w:rPr>
          <w:rFonts w:ascii="Century Gothic" w:eastAsia="Times New Roman" w:hAnsi="Century Gothic" w:cs="Arial"/>
        </w:rPr>
        <w:t xml:space="preserve"> </w:t>
      </w:r>
      <w:r w:rsidR="000F7EE1">
        <w:rPr>
          <w:rFonts w:ascii="Century Gothic" w:eastAsia="Times New Roman" w:hAnsi="Century Gothic" w:cs="Arial"/>
        </w:rPr>
        <w:t>vysvětluje</w:t>
      </w:r>
      <w:r w:rsidR="009E5092" w:rsidRPr="0036031F">
        <w:rPr>
          <w:rFonts w:ascii="Century Gothic" w:eastAsia="Times New Roman" w:hAnsi="Century Gothic" w:cs="Tahoma"/>
        </w:rPr>
        <w:t xml:space="preserve"> </w:t>
      </w:r>
      <w:r w:rsidR="009E5092" w:rsidRPr="0036031F">
        <w:rPr>
          <w:rFonts w:ascii="Century Gothic" w:eastAsia="Times New Roman" w:hAnsi="Century Gothic" w:cs="Arial"/>
          <w:b/>
        </w:rPr>
        <w:t>Jakub Sedmihradský</w:t>
      </w:r>
      <w:r w:rsidR="009E5092" w:rsidRPr="00CF27D5">
        <w:rPr>
          <w:rFonts w:ascii="Century Gothic" w:eastAsia="Times New Roman" w:hAnsi="Century Gothic" w:cs="Arial"/>
        </w:rPr>
        <w:t xml:space="preserve">, Business Development </w:t>
      </w:r>
      <w:proofErr w:type="spellStart"/>
      <w:r w:rsidR="009E5092" w:rsidRPr="00CF27D5">
        <w:rPr>
          <w:rFonts w:ascii="Century Gothic" w:eastAsia="Times New Roman" w:hAnsi="Century Gothic" w:cs="Arial"/>
        </w:rPr>
        <w:t>Director</w:t>
      </w:r>
      <w:proofErr w:type="spellEnd"/>
      <w:r w:rsidR="009E5092" w:rsidRPr="00CF27D5">
        <w:rPr>
          <w:rFonts w:ascii="Century Gothic" w:eastAsia="Times New Roman" w:hAnsi="Century Gothic" w:cs="Arial"/>
        </w:rPr>
        <w:t xml:space="preserve"> </w:t>
      </w:r>
      <w:proofErr w:type="spellStart"/>
      <w:r w:rsidR="009E5092" w:rsidRPr="00CF27D5">
        <w:rPr>
          <w:rFonts w:ascii="Century Gothic" w:eastAsia="Times New Roman" w:hAnsi="Century Gothic" w:cs="Arial"/>
        </w:rPr>
        <w:t>Lexxus</w:t>
      </w:r>
      <w:proofErr w:type="spellEnd"/>
      <w:r w:rsidR="009E5092" w:rsidRPr="00CF27D5">
        <w:rPr>
          <w:rFonts w:ascii="Century Gothic" w:eastAsia="Times New Roman" w:hAnsi="Century Gothic" w:cs="Arial"/>
        </w:rPr>
        <w:t xml:space="preserve"> </w:t>
      </w:r>
      <w:proofErr w:type="spellStart"/>
      <w:r w:rsidR="009E5092" w:rsidRPr="00CF27D5">
        <w:rPr>
          <w:rFonts w:ascii="Century Gothic" w:eastAsia="Times New Roman" w:hAnsi="Century Gothic" w:cs="Arial"/>
        </w:rPr>
        <w:t>Norton</w:t>
      </w:r>
      <w:proofErr w:type="spellEnd"/>
      <w:r w:rsidR="009E5092" w:rsidRPr="00CF27D5">
        <w:rPr>
          <w:rFonts w:ascii="Century Gothic" w:eastAsia="Times New Roman" w:hAnsi="Century Gothic" w:cs="Arial"/>
        </w:rPr>
        <w:t>.</w:t>
      </w:r>
      <w:r w:rsidR="00DA3A04">
        <w:rPr>
          <w:rFonts w:ascii="Century Gothic" w:eastAsia="Times New Roman" w:hAnsi="Century Gothic" w:cs="Arial"/>
        </w:rPr>
        <w:t xml:space="preserve"> </w:t>
      </w:r>
    </w:p>
    <w:p w14:paraId="46D59BB4" w14:textId="77777777" w:rsidR="00C53717" w:rsidRDefault="00C53717" w:rsidP="00C5371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0BC31007" w14:textId="77777777" w:rsidR="00C53717" w:rsidRDefault="00C53717" w:rsidP="00C5371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5BC925BF" w14:textId="77777777" w:rsidR="006B0679" w:rsidRDefault="006B0679" w:rsidP="00C5371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554A8288" w14:textId="77777777" w:rsidR="00C53717" w:rsidRDefault="00C53717" w:rsidP="00C5371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2A4D1196" w14:textId="77777777" w:rsidR="00B94224" w:rsidRDefault="00B94224" w:rsidP="00C5371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69A872B8" w14:textId="77777777" w:rsidR="00B94224" w:rsidRDefault="00B94224" w:rsidP="00C5371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7F6C250F" w14:textId="58C6346A" w:rsidR="00AC34CD" w:rsidRPr="004C6FD4" w:rsidRDefault="00AC34CD" w:rsidP="00C5371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72D6B7D8" w14:textId="4339C81B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patří do skupiny LEXXUS Group a specializuje se pouze na luxusní nemovitosti k prodeji i k pronájmu v nejžádanějších lokalitách Prahy a blízkého okolí. </w:t>
      </w:r>
    </w:p>
    <w:p w14:paraId="3257BC00" w14:textId="501D40EE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kladou maximální důraz na nejlepší servis jak pro developery, tak pro ko</w:t>
      </w:r>
      <w:r w:rsidR="003F2967">
        <w:rPr>
          <w:rFonts w:ascii="Century Gothic" w:hAnsi="Century Gothic" w:cs="Tahoma"/>
        </w:rPr>
        <w:t xml:space="preserve">nečné uživatele. Služby </w:t>
      </w:r>
      <w:proofErr w:type="spellStart"/>
      <w:r w:rsidR="003F2967"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8295A61" w14:textId="77777777" w:rsidR="00F951C2" w:rsidRDefault="00F951C2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AD42071" w14:textId="77777777" w:rsidR="00AC34CD" w:rsidRP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66ED8416" w14:textId="77777777" w:rsidR="00AC34CD" w:rsidRDefault="00AC34CD" w:rsidP="00AC34CD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40F135B4" w14:textId="77777777" w:rsidR="00AC34CD" w:rsidRDefault="00AC34CD" w:rsidP="00AC34CD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00A621F2" w14:textId="77777777" w:rsidR="00AC34CD" w:rsidRDefault="00246EF7" w:rsidP="00AC34CD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1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0070F571" w14:textId="66CA248C" w:rsidR="00CA5219" w:rsidRDefault="00CA5219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bookmarkStart w:id="0" w:name="_GoBack"/>
      <w:bookmarkEnd w:id="0"/>
    </w:p>
    <w:p w14:paraId="3B8FAE25" w14:textId="77777777" w:rsidR="00246EF7" w:rsidRDefault="00246EF7" w:rsidP="00246EF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12188DB9" w14:textId="77777777" w:rsidR="00246EF7" w:rsidRDefault="00246EF7" w:rsidP="00246EF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5301A23C" w14:textId="77777777" w:rsidR="00246EF7" w:rsidRDefault="00246EF7" w:rsidP="00246EF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00B9C233" w14:textId="77777777" w:rsidR="00246EF7" w:rsidRDefault="00246EF7" w:rsidP="00246EF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715BCF4E" w14:textId="77777777" w:rsidR="00246EF7" w:rsidRDefault="00246EF7" w:rsidP="00246EF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6A2CC6B1" w14:textId="77777777" w:rsidR="00246EF7" w:rsidRDefault="00246EF7" w:rsidP="00246EF7">
      <w:pPr>
        <w:pStyle w:val="Bezmezer"/>
        <w:ind w:left="-567" w:right="-709"/>
        <w:rPr>
          <w:rFonts w:ascii="Century Gothic" w:hAnsi="Century Gothic"/>
          <w:b/>
        </w:rPr>
      </w:pPr>
    </w:p>
    <w:p w14:paraId="52CF5422" w14:textId="77777777" w:rsidR="00246EF7" w:rsidRDefault="00246EF7" w:rsidP="00246EF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76DB8267" w14:textId="77777777" w:rsidR="00246EF7" w:rsidRDefault="00246EF7" w:rsidP="00246EF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5E269264" w14:textId="77777777" w:rsidR="00246EF7" w:rsidRDefault="00246EF7" w:rsidP="00246EF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+420 222 927 128, 731 613 602</w:t>
      </w:r>
    </w:p>
    <w:p w14:paraId="08CAF29A" w14:textId="77777777" w:rsidR="00246EF7" w:rsidRDefault="00246EF7" w:rsidP="00246EF7">
      <w:pPr>
        <w:pStyle w:val="Bezmezer"/>
        <w:ind w:left="-567" w:right="-709"/>
        <w:rPr>
          <w:rFonts w:ascii="Century Gothic" w:hAnsi="Century Gothic" w:cs="Tahoma"/>
        </w:rPr>
      </w:pPr>
    </w:p>
    <w:p w14:paraId="6CC9C37A" w14:textId="77777777" w:rsidR="00246EF7" w:rsidRDefault="00246EF7" w:rsidP="00246EF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0884B032" w14:textId="5FE8E0B0" w:rsidR="0065364D" w:rsidRDefault="0065364D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6568195B" w14:textId="178B94DB" w:rsidR="00A81A88" w:rsidRDefault="00A81A88" w:rsidP="00A81A88">
      <w:pPr>
        <w:pStyle w:val="Bezmezer"/>
        <w:ind w:left="-567" w:right="-709"/>
        <w:rPr>
          <w:color w:val="887634"/>
        </w:rPr>
      </w:pPr>
    </w:p>
    <w:p w14:paraId="65A1A98B" w14:textId="7A459871" w:rsidR="00A81A88" w:rsidRPr="007F2F5E" w:rsidRDefault="00A81A88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A81A88" w:rsidRPr="007F2F5E" w:rsidSect="0072141F">
      <w:headerReference w:type="default" r:id="rId15"/>
      <w:footerReference w:type="default" r:id="rId16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BF44F" w14:textId="77777777" w:rsidR="002F4454" w:rsidRDefault="002F4454" w:rsidP="002E72DB">
      <w:pPr>
        <w:spacing w:after="0" w:line="240" w:lineRule="auto"/>
      </w:pPr>
      <w:r>
        <w:separator/>
      </w:r>
    </w:p>
  </w:endnote>
  <w:endnote w:type="continuationSeparator" w:id="0">
    <w:p w14:paraId="757690CA" w14:textId="77777777" w:rsidR="002F4454" w:rsidRDefault="002F4454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7D6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D5957B" wp14:editId="0BD450F3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3582" w14:textId="77777777" w:rsidR="002F4454" w:rsidRDefault="002F4454" w:rsidP="002E72DB">
      <w:pPr>
        <w:spacing w:after="0" w:line="240" w:lineRule="auto"/>
      </w:pPr>
      <w:r>
        <w:separator/>
      </w:r>
    </w:p>
  </w:footnote>
  <w:footnote w:type="continuationSeparator" w:id="0">
    <w:p w14:paraId="385118F2" w14:textId="77777777" w:rsidR="002F4454" w:rsidRDefault="002F4454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E8C26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E35C5D" wp14:editId="2C5B0B84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4520"/>
    <w:rsid w:val="00006F47"/>
    <w:rsid w:val="00011C5D"/>
    <w:rsid w:val="00015CB6"/>
    <w:rsid w:val="00022AB3"/>
    <w:rsid w:val="000242FD"/>
    <w:rsid w:val="00036C4C"/>
    <w:rsid w:val="00045B5B"/>
    <w:rsid w:val="00050CE0"/>
    <w:rsid w:val="00060FDF"/>
    <w:rsid w:val="00074C1B"/>
    <w:rsid w:val="00082C9F"/>
    <w:rsid w:val="00091CF9"/>
    <w:rsid w:val="00093944"/>
    <w:rsid w:val="000A187D"/>
    <w:rsid w:val="000A6587"/>
    <w:rsid w:val="000B45F5"/>
    <w:rsid w:val="000B4A42"/>
    <w:rsid w:val="000C16A1"/>
    <w:rsid w:val="000C77B6"/>
    <w:rsid w:val="000D7D3F"/>
    <w:rsid w:val="000D7EB8"/>
    <w:rsid w:val="000E0A53"/>
    <w:rsid w:val="000E2D94"/>
    <w:rsid w:val="000E59C5"/>
    <w:rsid w:val="000E62C8"/>
    <w:rsid w:val="000F4FEA"/>
    <w:rsid w:val="000F5BFF"/>
    <w:rsid w:val="000F7EE1"/>
    <w:rsid w:val="00103D6A"/>
    <w:rsid w:val="00105C1A"/>
    <w:rsid w:val="001077C5"/>
    <w:rsid w:val="00116D75"/>
    <w:rsid w:val="0012282E"/>
    <w:rsid w:val="00126132"/>
    <w:rsid w:val="00130CFB"/>
    <w:rsid w:val="00135581"/>
    <w:rsid w:val="001369DE"/>
    <w:rsid w:val="001430AF"/>
    <w:rsid w:val="00145EB1"/>
    <w:rsid w:val="00167853"/>
    <w:rsid w:val="00180C53"/>
    <w:rsid w:val="00184F40"/>
    <w:rsid w:val="00191268"/>
    <w:rsid w:val="001A01C0"/>
    <w:rsid w:val="001A5A23"/>
    <w:rsid w:val="001B2E4D"/>
    <w:rsid w:val="001B3509"/>
    <w:rsid w:val="001B4C18"/>
    <w:rsid w:val="001D0C45"/>
    <w:rsid w:val="001E15E1"/>
    <w:rsid w:val="001E1F61"/>
    <w:rsid w:val="001F599E"/>
    <w:rsid w:val="001F71CA"/>
    <w:rsid w:val="00216AC3"/>
    <w:rsid w:val="00224D65"/>
    <w:rsid w:val="00227190"/>
    <w:rsid w:val="00237D6A"/>
    <w:rsid w:val="00242084"/>
    <w:rsid w:val="00244457"/>
    <w:rsid w:val="00246EF7"/>
    <w:rsid w:val="0024773D"/>
    <w:rsid w:val="00247F05"/>
    <w:rsid w:val="0025041F"/>
    <w:rsid w:val="0025178B"/>
    <w:rsid w:val="00260D2A"/>
    <w:rsid w:val="00270DAD"/>
    <w:rsid w:val="002712C0"/>
    <w:rsid w:val="002866E5"/>
    <w:rsid w:val="0029629F"/>
    <w:rsid w:val="00297E0D"/>
    <w:rsid w:val="002B3CA6"/>
    <w:rsid w:val="002C6203"/>
    <w:rsid w:val="002C7866"/>
    <w:rsid w:val="002D3982"/>
    <w:rsid w:val="002D5C20"/>
    <w:rsid w:val="002E36EF"/>
    <w:rsid w:val="002E55A5"/>
    <w:rsid w:val="002E72DB"/>
    <w:rsid w:val="002F0525"/>
    <w:rsid w:val="002F4454"/>
    <w:rsid w:val="002F7785"/>
    <w:rsid w:val="003066E6"/>
    <w:rsid w:val="00312369"/>
    <w:rsid w:val="00315AA6"/>
    <w:rsid w:val="00323224"/>
    <w:rsid w:val="00326037"/>
    <w:rsid w:val="0032783C"/>
    <w:rsid w:val="0033006C"/>
    <w:rsid w:val="00332DDF"/>
    <w:rsid w:val="00336446"/>
    <w:rsid w:val="003367AE"/>
    <w:rsid w:val="00341818"/>
    <w:rsid w:val="00354BF8"/>
    <w:rsid w:val="003562ED"/>
    <w:rsid w:val="0036031F"/>
    <w:rsid w:val="0038459B"/>
    <w:rsid w:val="00385554"/>
    <w:rsid w:val="003963D8"/>
    <w:rsid w:val="003A04A4"/>
    <w:rsid w:val="003B0D62"/>
    <w:rsid w:val="003C696D"/>
    <w:rsid w:val="003D76E3"/>
    <w:rsid w:val="003D77AE"/>
    <w:rsid w:val="003E6384"/>
    <w:rsid w:val="003F1AEC"/>
    <w:rsid w:val="003F2967"/>
    <w:rsid w:val="003F39C8"/>
    <w:rsid w:val="003F5A0F"/>
    <w:rsid w:val="003F7F8C"/>
    <w:rsid w:val="00413A4A"/>
    <w:rsid w:val="00415EEF"/>
    <w:rsid w:val="0042415D"/>
    <w:rsid w:val="00424C9C"/>
    <w:rsid w:val="004308F1"/>
    <w:rsid w:val="004331B9"/>
    <w:rsid w:val="004377E5"/>
    <w:rsid w:val="004453B3"/>
    <w:rsid w:val="004453B8"/>
    <w:rsid w:val="00447D36"/>
    <w:rsid w:val="00452163"/>
    <w:rsid w:val="004536CB"/>
    <w:rsid w:val="00454A0A"/>
    <w:rsid w:val="00457D91"/>
    <w:rsid w:val="00460E1C"/>
    <w:rsid w:val="0046424A"/>
    <w:rsid w:val="0047195A"/>
    <w:rsid w:val="0048623A"/>
    <w:rsid w:val="00490524"/>
    <w:rsid w:val="004A305A"/>
    <w:rsid w:val="004A6E3A"/>
    <w:rsid w:val="004B7558"/>
    <w:rsid w:val="004C37A4"/>
    <w:rsid w:val="004C6FD4"/>
    <w:rsid w:val="004D08B2"/>
    <w:rsid w:val="004D3CCE"/>
    <w:rsid w:val="004D5ADF"/>
    <w:rsid w:val="004E52F3"/>
    <w:rsid w:val="004E69B8"/>
    <w:rsid w:val="004E7019"/>
    <w:rsid w:val="004E7AA0"/>
    <w:rsid w:val="004F1ADE"/>
    <w:rsid w:val="004F3B18"/>
    <w:rsid w:val="0050329B"/>
    <w:rsid w:val="00506567"/>
    <w:rsid w:val="00506ABC"/>
    <w:rsid w:val="00513C23"/>
    <w:rsid w:val="0051415A"/>
    <w:rsid w:val="005171B0"/>
    <w:rsid w:val="00517ECC"/>
    <w:rsid w:val="00536648"/>
    <w:rsid w:val="00537934"/>
    <w:rsid w:val="0055453F"/>
    <w:rsid w:val="00557BA2"/>
    <w:rsid w:val="0056371C"/>
    <w:rsid w:val="0056382E"/>
    <w:rsid w:val="005667B7"/>
    <w:rsid w:val="005672F7"/>
    <w:rsid w:val="00581D0B"/>
    <w:rsid w:val="00582F38"/>
    <w:rsid w:val="005955DE"/>
    <w:rsid w:val="005A11D5"/>
    <w:rsid w:val="005B601F"/>
    <w:rsid w:val="005C39D2"/>
    <w:rsid w:val="005C3C3D"/>
    <w:rsid w:val="005D0FA8"/>
    <w:rsid w:val="005E11B4"/>
    <w:rsid w:val="005E1D93"/>
    <w:rsid w:val="005E6AB8"/>
    <w:rsid w:val="005F124B"/>
    <w:rsid w:val="005F3558"/>
    <w:rsid w:val="005F38AA"/>
    <w:rsid w:val="006169A4"/>
    <w:rsid w:val="006206A4"/>
    <w:rsid w:val="00625B25"/>
    <w:rsid w:val="0063562D"/>
    <w:rsid w:val="006411FB"/>
    <w:rsid w:val="0064295C"/>
    <w:rsid w:val="00653590"/>
    <w:rsid w:val="0065364D"/>
    <w:rsid w:val="00654B4E"/>
    <w:rsid w:val="00664445"/>
    <w:rsid w:val="00667424"/>
    <w:rsid w:val="006719D2"/>
    <w:rsid w:val="00672A55"/>
    <w:rsid w:val="006756E4"/>
    <w:rsid w:val="00676C51"/>
    <w:rsid w:val="0067793A"/>
    <w:rsid w:val="00681FC6"/>
    <w:rsid w:val="0068518F"/>
    <w:rsid w:val="00685781"/>
    <w:rsid w:val="006867BE"/>
    <w:rsid w:val="00692D7E"/>
    <w:rsid w:val="0069785F"/>
    <w:rsid w:val="006A1776"/>
    <w:rsid w:val="006A65B2"/>
    <w:rsid w:val="006B05AB"/>
    <w:rsid w:val="006B0679"/>
    <w:rsid w:val="006C2C44"/>
    <w:rsid w:val="006C4E6A"/>
    <w:rsid w:val="006D42B0"/>
    <w:rsid w:val="006D6B11"/>
    <w:rsid w:val="006F10F0"/>
    <w:rsid w:val="006F4C8A"/>
    <w:rsid w:val="0070368A"/>
    <w:rsid w:val="00703DDC"/>
    <w:rsid w:val="00710624"/>
    <w:rsid w:val="00715BF1"/>
    <w:rsid w:val="0072141F"/>
    <w:rsid w:val="00725ADB"/>
    <w:rsid w:val="00726B3F"/>
    <w:rsid w:val="0073686A"/>
    <w:rsid w:val="00743A37"/>
    <w:rsid w:val="00750D4B"/>
    <w:rsid w:val="007542ED"/>
    <w:rsid w:val="00761EB3"/>
    <w:rsid w:val="00765B0F"/>
    <w:rsid w:val="00772443"/>
    <w:rsid w:val="00777265"/>
    <w:rsid w:val="0077737D"/>
    <w:rsid w:val="00777E5E"/>
    <w:rsid w:val="0078280A"/>
    <w:rsid w:val="00790F26"/>
    <w:rsid w:val="00795751"/>
    <w:rsid w:val="00795D4D"/>
    <w:rsid w:val="007A0870"/>
    <w:rsid w:val="007A507D"/>
    <w:rsid w:val="007B2095"/>
    <w:rsid w:val="007B26EC"/>
    <w:rsid w:val="007B6FA2"/>
    <w:rsid w:val="007C1FC7"/>
    <w:rsid w:val="007D0334"/>
    <w:rsid w:val="007D2D22"/>
    <w:rsid w:val="007D2E1D"/>
    <w:rsid w:val="007D346C"/>
    <w:rsid w:val="007E08EF"/>
    <w:rsid w:val="007F092C"/>
    <w:rsid w:val="007F2F5E"/>
    <w:rsid w:val="00804593"/>
    <w:rsid w:val="00830A56"/>
    <w:rsid w:val="00836B17"/>
    <w:rsid w:val="00841407"/>
    <w:rsid w:val="008415B3"/>
    <w:rsid w:val="00847D1F"/>
    <w:rsid w:val="00850CE3"/>
    <w:rsid w:val="00850E79"/>
    <w:rsid w:val="00851E06"/>
    <w:rsid w:val="00862FD5"/>
    <w:rsid w:val="00862FED"/>
    <w:rsid w:val="00863902"/>
    <w:rsid w:val="00876809"/>
    <w:rsid w:val="00881EF6"/>
    <w:rsid w:val="008853EB"/>
    <w:rsid w:val="008940EE"/>
    <w:rsid w:val="008941B2"/>
    <w:rsid w:val="00895D7F"/>
    <w:rsid w:val="008A1977"/>
    <w:rsid w:val="008B08A6"/>
    <w:rsid w:val="008B6C9B"/>
    <w:rsid w:val="008C07A4"/>
    <w:rsid w:val="008C12BC"/>
    <w:rsid w:val="008C3662"/>
    <w:rsid w:val="008D267B"/>
    <w:rsid w:val="008D447F"/>
    <w:rsid w:val="008D5616"/>
    <w:rsid w:val="008F0354"/>
    <w:rsid w:val="008F46AD"/>
    <w:rsid w:val="008F4F9F"/>
    <w:rsid w:val="008F5F16"/>
    <w:rsid w:val="008F796F"/>
    <w:rsid w:val="00906CA4"/>
    <w:rsid w:val="009232FB"/>
    <w:rsid w:val="00930EDE"/>
    <w:rsid w:val="00932277"/>
    <w:rsid w:val="00933AAD"/>
    <w:rsid w:val="0093518A"/>
    <w:rsid w:val="009363B8"/>
    <w:rsid w:val="009461AE"/>
    <w:rsid w:val="00953032"/>
    <w:rsid w:val="00956770"/>
    <w:rsid w:val="00967901"/>
    <w:rsid w:val="0098238E"/>
    <w:rsid w:val="009840F9"/>
    <w:rsid w:val="00990A79"/>
    <w:rsid w:val="0099430E"/>
    <w:rsid w:val="00997A6E"/>
    <w:rsid w:val="009A1758"/>
    <w:rsid w:val="009A2CF4"/>
    <w:rsid w:val="009B6185"/>
    <w:rsid w:val="009B68A4"/>
    <w:rsid w:val="009C63CD"/>
    <w:rsid w:val="009D088F"/>
    <w:rsid w:val="009D1FCA"/>
    <w:rsid w:val="009D743F"/>
    <w:rsid w:val="009E0418"/>
    <w:rsid w:val="009E5092"/>
    <w:rsid w:val="009E6289"/>
    <w:rsid w:val="009F3692"/>
    <w:rsid w:val="00A01882"/>
    <w:rsid w:val="00A15CBD"/>
    <w:rsid w:val="00A1632F"/>
    <w:rsid w:val="00A22228"/>
    <w:rsid w:val="00A472C0"/>
    <w:rsid w:val="00A55CE2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6538"/>
    <w:rsid w:val="00AA56CE"/>
    <w:rsid w:val="00AB46F9"/>
    <w:rsid w:val="00AB6695"/>
    <w:rsid w:val="00AC01A8"/>
    <w:rsid w:val="00AC34CD"/>
    <w:rsid w:val="00AC4D97"/>
    <w:rsid w:val="00AC794C"/>
    <w:rsid w:val="00AD0AEE"/>
    <w:rsid w:val="00AD2E44"/>
    <w:rsid w:val="00AD51E5"/>
    <w:rsid w:val="00AD6E8B"/>
    <w:rsid w:val="00AE4C57"/>
    <w:rsid w:val="00AF3481"/>
    <w:rsid w:val="00B0408E"/>
    <w:rsid w:val="00B04AD3"/>
    <w:rsid w:val="00B056D5"/>
    <w:rsid w:val="00B1100C"/>
    <w:rsid w:val="00B12606"/>
    <w:rsid w:val="00B13D4E"/>
    <w:rsid w:val="00B2345D"/>
    <w:rsid w:val="00B2386C"/>
    <w:rsid w:val="00B23BD2"/>
    <w:rsid w:val="00B244D6"/>
    <w:rsid w:val="00B32B43"/>
    <w:rsid w:val="00B33AAD"/>
    <w:rsid w:val="00B42C0B"/>
    <w:rsid w:val="00B4436D"/>
    <w:rsid w:val="00B444BC"/>
    <w:rsid w:val="00B46D6A"/>
    <w:rsid w:val="00B541B3"/>
    <w:rsid w:val="00B6129C"/>
    <w:rsid w:val="00B617F1"/>
    <w:rsid w:val="00B77276"/>
    <w:rsid w:val="00B81E0E"/>
    <w:rsid w:val="00B92330"/>
    <w:rsid w:val="00B94224"/>
    <w:rsid w:val="00BA2CD6"/>
    <w:rsid w:val="00BA5F58"/>
    <w:rsid w:val="00BB3095"/>
    <w:rsid w:val="00BB4572"/>
    <w:rsid w:val="00BC0068"/>
    <w:rsid w:val="00BD0DAD"/>
    <w:rsid w:val="00BE22EC"/>
    <w:rsid w:val="00BE46E6"/>
    <w:rsid w:val="00BF71B0"/>
    <w:rsid w:val="00C1032D"/>
    <w:rsid w:val="00C11EF4"/>
    <w:rsid w:val="00C1309B"/>
    <w:rsid w:val="00C17E6A"/>
    <w:rsid w:val="00C20B70"/>
    <w:rsid w:val="00C233F3"/>
    <w:rsid w:val="00C24027"/>
    <w:rsid w:val="00C27B54"/>
    <w:rsid w:val="00C30FE9"/>
    <w:rsid w:val="00C53717"/>
    <w:rsid w:val="00C54641"/>
    <w:rsid w:val="00C56FEC"/>
    <w:rsid w:val="00C57256"/>
    <w:rsid w:val="00C57C5D"/>
    <w:rsid w:val="00C57E8F"/>
    <w:rsid w:val="00C602A2"/>
    <w:rsid w:val="00C67C18"/>
    <w:rsid w:val="00C806D4"/>
    <w:rsid w:val="00C923C4"/>
    <w:rsid w:val="00CA187B"/>
    <w:rsid w:val="00CA4031"/>
    <w:rsid w:val="00CA5219"/>
    <w:rsid w:val="00CB6E69"/>
    <w:rsid w:val="00CC0EE7"/>
    <w:rsid w:val="00CC100C"/>
    <w:rsid w:val="00CC2647"/>
    <w:rsid w:val="00CE2558"/>
    <w:rsid w:val="00CE3932"/>
    <w:rsid w:val="00CF27D5"/>
    <w:rsid w:val="00D04CC2"/>
    <w:rsid w:val="00D04F48"/>
    <w:rsid w:val="00D12A7F"/>
    <w:rsid w:val="00D13F2F"/>
    <w:rsid w:val="00D216AF"/>
    <w:rsid w:val="00D27F7E"/>
    <w:rsid w:val="00D44A1B"/>
    <w:rsid w:val="00D456C9"/>
    <w:rsid w:val="00D46F9A"/>
    <w:rsid w:val="00D5059D"/>
    <w:rsid w:val="00D541BF"/>
    <w:rsid w:val="00D544CF"/>
    <w:rsid w:val="00D6046A"/>
    <w:rsid w:val="00D671D4"/>
    <w:rsid w:val="00D81327"/>
    <w:rsid w:val="00D85E32"/>
    <w:rsid w:val="00D8730C"/>
    <w:rsid w:val="00D90EE2"/>
    <w:rsid w:val="00D95155"/>
    <w:rsid w:val="00DA3A04"/>
    <w:rsid w:val="00DA5061"/>
    <w:rsid w:val="00DA656B"/>
    <w:rsid w:val="00DB69AE"/>
    <w:rsid w:val="00DB727E"/>
    <w:rsid w:val="00DD0CE1"/>
    <w:rsid w:val="00DD2B67"/>
    <w:rsid w:val="00DF476A"/>
    <w:rsid w:val="00E00C88"/>
    <w:rsid w:val="00E02492"/>
    <w:rsid w:val="00E02542"/>
    <w:rsid w:val="00E02579"/>
    <w:rsid w:val="00E12762"/>
    <w:rsid w:val="00E25161"/>
    <w:rsid w:val="00E3185D"/>
    <w:rsid w:val="00E34BA1"/>
    <w:rsid w:val="00E34D5D"/>
    <w:rsid w:val="00E36865"/>
    <w:rsid w:val="00E436B1"/>
    <w:rsid w:val="00E43992"/>
    <w:rsid w:val="00E4754F"/>
    <w:rsid w:val="00E5073D"/>
    <w:rsid w:val="00E65363"/>
    <w:rsid w:val="00E81580"/>
    <w:rsid w:val="00E86AF3"/>
    <w:rsid w:val="00E91E1B"/>
    <w:rsid w:val="00E96981"/>
    <w:rsid w:val="00EA113C"/>
    <w:rsid w:val="00EA190C"/>
    <w:rsid w:val="00EA3488"/>
    <w:rsid w:val="00EA45CB"/>
    <w:rsid w:val="00EB1FA6"/>
    <w:rsid w:val="00EB504D"/>
    <w:rsid w:val="00EC20B7"/>
    <w:rsid w:val="00EC2369"/>
    <w:rsid w:val="00EC34D7"/>
    <w:rsid w:val="00EC3D94"/>
    <w:rsid w:val="00EC4B5C"/>
    <w:rsid w:val="00ED4C7B"/>
    <w:rsid w:val="00ED56F6"/>
    <w:rsid w:val="00EE6AC9"/>
    <w:rsid w:val="00EF0C33"/>
    <w:rsid w:val="00EF23A8"/>
    <w:rsid w:val="00EF339F"/>
    <w:rsid w:val="00EF5AD4"/>
    <w:rsid w:val="00EF5C74"/>
    <w:rsid w:val="00F12547"/>
    <w:rsid w:val="00F1784A"/>
    <w:rsid w:val="00F2102E"/>
    <w:rsid w:val="00F254B2"/>
    <w:rsid w:val="00F31F8B"/>
    <w:rsid w:val="00F3263D"/>
    <w:rsid w:val="00F35453"/>
    <w:rsid w:val="00F43005"/>
    <w:rsid w:val="00F43ADD"/>
    <w:rsid w:val="00F545FA"/>
    <w:rsid w:val="00F56CF7"/>
    <w:rsid w:val="00F6413F"/>
    <w:rsid w:val="00F64879"/>
    <w:rsid w:val="00F6564A"/>
    <w:rsid w:val="00F6587D"/>
    <w:rsid w:val="00F740EB"/>
    <w:rsid w:val="00F87C73"/>
    <w:rsid w:val="00F951C2"/>
    <w:rsid w:val="00FA56B7"/>
    <w:rsid w:val="00FA5A62"/>
    <w:rsid w:val="00FB2138"/>
    <w:rsid w:val="00FC15E7"/>
    <w:rsid w:val="00FC3BBE"/>
    <w:rsid w:val="00FE4851"/>
    <w:rsid w:val="00FE6A6B"/>
    <w:rsid w:val="00FE78E3"/>
    <w:rsid w:val="00FF11E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45A8F4"/>
  <w15:docId w15:val="{B511FA30-3517-4DB6-9FB0-9F201C6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norto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norton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DEA2-F9BA-4161-965F-BB902AA0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4</cp:revision>
  <cp:lastPrinted>2017-05-05T07:28:00Z</cp:lastPrinted>
  <dcterms:created xsi:type="dcterms:W3CDTF">2017-05-09T09:15:00Z</dcterms:created>
  <dcterms:modified xsi:type="dcterms:W3CDTF">2017-05-10T08:48:00Z</dcterms:modified>
</cp:coreProperties>
</file>